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84F" w14:textId="79A391A9" w:rsidR="00AA08E2" w:rsidRDefault="00AA08E2" w:rsidP="00D12CAC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Understanding </w:t>
      </w:r>
      <w:r w:rsidR="00D61EE7" w:rsidRPr="004414C1">
        <w:rPr>
          <w:b/>
          <w:bCs/>
        </w:rPr>
        <w:t>Export Pricing:</w:t>
      </w:r>
    </w:p>
    <w:p w14:paraId="6B4B6C9A" w14:textId="77777777" w:rsidR="00724318" w:rsidRDefault="00724318" w:rsidP="00D12CAC">
      <w:pPr>
        <w:spacing w:line="240" w:lineRule="auto"/>
        <w:contextualSpacing/>
      </w:pPr>
    </w:p>
    <w:p w14:paraId="11B0A826" w14:textId="5E31B727" w:rsidR="00B573C1" w:rsidRDefault="00B573C1" w:rsidP="00D12CAC">
      <w:pPr>
        <w:spacing w:line="240" w:lineRule="auto"/>
        <w:contextualSpacing/>
      </w:pPr>
      <w:r>
        <w:t xml:space="preserve">This </w:t>
      </w:r>
      <w:r w:rsidR="003B34B1">
        <w:t xml:space="preserve">data </w:t>
      </w:r>
      <w:r>
        <w:t xml:space="preserve">file contains </w:t>
      </w:r>
      <w:r w:rsidR="00071357">
        <w:t xml:space="preserve">20-years hourly export rates for three sets of </w:t>
      </w:r>
      <w:r w:rsidR="00CB054A">
        <w:t xml:space="preserve">SCE </w:t>
      </w:r>
      <w:r w:rsidR="00B65D7A">
        <w:t xml:space="preserve">Solar </w:t>
      </w:r>
      <w:r w:rsidR="00766F99">
        <w:t>Billing Plan (</w:t>
      </w:r>
      <w:proofErr w:type="gramStart"/>
      <w:r w:rsidR="00766F99">
        <w:t>i.e.</w:t>
      </w:r>
      <w:proofErr w:type="gramEnd"/>
      <w:r w:rsidR="00766F99">
        <w:t xml:space="preserve"> Net Billing Tariff / NBT)</w:t>
      </w:r>
      <w:r w:rsidR="00633AE6">
        <w:t xml:space="preserve">, NBT23, NBT24, and NBT00. </w:t>
      </w:r>
    </w:p>
    <w:p w14:paraId="558ED125" w14:textId="179FA460" w:rsidR="00F92C24" w:rsidRDefault="00F92C24" w:rsidP="00F92C24">
      <w:pPr>
        <w:pStyle w:val="ListParagraph"/>
        <w:numPr>
          <w:ilvl w:val="0"/>
          <w:numId w:val="6"/>
        </w:numPr>
        <w:spacing w:line="240" w:lineRule="auto"/>
      </w:pPr>
      <w:r>
        <w:t>NBT23</w:t>
      </w:r>
      <w:r w:rsidR="00AD6087">
        <w:t xml:space="preserve"> = Solar Bill Plan Customers with applications filed in 2023 that qualifies for</w:t>
      </w:r>
      <w:r w:rsidR="005C3902">
        <w:t xml:space="preserve"> 9-year lock-in export rates</w:t>
      </w:r>
    </w:p>
    <w:p w14:paraId="3863914C" w14:textId="6BD9A519" w:rsidR="005C3902" w:rsidRDefault="005C3902" w:rsidP="00F92C24">
      <w:pPr>
        <w:pStyle w:val="ListParagraph"/>
        <w:numPr>
          <w:ilvl w:val="0"/>
          <w:numId w:val="6"/>
        </w:numPr>
        <w:spacing w:line="240" w:lineRule="auto"/>
      </w:pPr>
      <w:r>
        <w:t xml:space="preserve">NBT24 = Solar Billing Plan Customers with applications filed in 2024 that qualifies </w:t>
      </w:r>
      <w:r w:rsidR="00DB32EB">
        <w:t>9-year lock-in export rates.</w:t>
      </w:r>
    </w:p>
    <w:p w14:paraId="3D171693" w14:textId="11D3A0C0" w:rsidR="00DB32EB" w:rsidRDefault="00DB32EB" w:rsidP="00F92C24">
      <w:pPr>
        <w:pStyle w:val="ListParagraph"/>
        <w:numPr>
          <w:ilvl w:val="0"/>
          <w:numId w:val="6"/>
        </w:numPr>
        <w:spacing w:line="240" w:lineRule="auto"/>
      </w:pPr>
      <w:r>
        <w:t xml:space="preserve">NBT00 = Solar Billing Plan Customers </w:t>
      </w:r>
      <w:r w:rsidR="008909B5">
        <w:t>that does not qualified for any 9-year lock-in export rates.</w:t>
      </w:r>
    </w:p>
    <w:p w14:paraId="0B3B0A25" w14:textId="1188BA1F" w:rsidR="00FA49C4" w:rsidRDefault="00FA49C4" w:rsidP="008909B5">
      <w:pPr>
        <w:spacing w:line="240" w:lineRule="auto"/>
      </w:pPr>
      <w:r>
        <w:t xml:space="preserve">The export </w:t>
      </w:r>
      <w:r w:rsidR="00B24B1B">
        <w:t>rates are presented in UTC time, covering from 1/1/2024 12:00:00am PST, to 12/31/2043 11:59:59pm PST.</w:t>
      </w:r>
    </w:p>
    <w:p w14:paraId="3F81780E" w14:textId="4C30783F" w:rsidR="008909B5" w:rsidRDefault="008909B5" w:rsidP="008909B5">
      <w:pPr>
        <w:spacing w:line="240" w:lineRule="auto"/>
      </w:pPr>
      <w:r>
        <w:t xml:space="preserve">Per CPUC Decision, SCE is required to provide 20-years of export rates. However please note that </w:t>
      </w:r>
      <w:r w:rsidR="00362E22">
        <w:t xml:space="preserve">for NBT23 and NBT24 customers, you are only </w:t>
      </w:r>
      <w:r w:rsidR="00765967">
        <w:t>guaranteed export rates for 9-years from Permis</w:t>
      </w:r>
      <w:r w:rsidR="001556F8">
        <w:t>s</w:t>
      </w:r>
      <w:r w:rsidR="00765967">
        <w:t>ion-To-Operate (PTO)</w:t>
      </w:r>
      <w:r w:rsidR="001556F8">
        <w:t xml:space="preserve"> rate of your system. Any rates factors in this file beyond your 9-year lock-in period are </w:t>
      </w:r>
      <w:r w:rsidR="00821432">
        <w:t>for illustrat</w:t>
      </w:r>
      <w:r w:rsidR="00E35E92">
        <w:t>ive purposes</w:t>
      </w:r>
      <w:r w:rsidR="00821432">
        <w:t xml:space="preserve"> only and </w:t>
      </w:r>
      <w:r w:rsidR="00C41A74">
        <w:t>are not</w:t>
      </w:r>
      <w:r w:rsidR="00821432">
        <w:t xml:space="preserve"> actual </w:t>
      </w:r>
      <w:r w:rsidR="00C41A74">
        <w:t xml:space="preserve">effective </w:t>
      </w:r>
      <w:r w:rsidR="00821432">
        <w:t>SBP Export Rates</w:t>
      </w:r>
      <w:r w:rsidR="00C41A74">
        <w:t xml:space="preserve"> at those times.</w:t>
      </w:r>
      <w:r w:rsidR="00CF7F3C">
        <w:t xml:space="preserve"> For NBT00 customers, </w:t>
      </w:r>
      <w:r w:rsidR="00100C95">
        <w:t xml:space="preserve">only those </w:t>
      </w:r>
      <w:r w:rsidR="00BD5308">
        <w:t>rates for Pacific Standard Time calendar year 2024</w:t>
      </w:r>
      <w:r w:rsidR="00026EA4">
        <w:t xml:space="preserve"> are actual effective rates, and all rates after that are for illustrative purposes only.</w:t>
      </w:r>
    </w:p>
    <w:p w14:paraId="56BC0F95" w14:textId="77777777" w:rsidR="00B573C1" w:rsidRDefault="00B573C1" w:rsidP="00D12CAC">
      <w:pPr>
        <w:spacing w:line="240" w:lineRule="auto"/>
        <w:contextualSpacing/>
      </w:pPr>
    </w:p>
    <w:p w14:paraId="652B2B17" w14:textId="793855A8" w:rsidR="00F74352" w:rsidRDefault="00F74352" w:rsidP="00D12CAC">
      <w:pPr>
        <w:spacing w:line="240" w:lineRule="auto"/>
        <w:contextualSpacing/>
      </w:pPr>
      <w:r>
        <w:t>The following is a description of the data fields in the data file.</w:t>
      </w:r>
    </w:p>
    <w:p w14:paraId="51ACD867" w14:textId="77777777" w:rsidR="00B573C1" w:rsidRDefault="00B573C1" w:rsidP="00D12CAC">
      <w:pPr>
        <w:spacing w:line="240" w:lineRule="auto"/>
        <w:contextualSpacing/>
      </w:pPr>
    </w:p>
    <w:p w14:paraId="60DEA99A" w14:textId="56A1C34B" w:rsidR="00001633" w:rsidRPr="00D12CAC" w:rsidRDefault="00D61EE7" w:rsidP="00B7615A">
      <w:pPr>
        <w:spacing w:line="240" w:lineRule="auto"/>
        <w:contextualSpacing/>
        <w:rPr>
          <w:b/>
          <w:bCs/>
        </w:rPr>
      </w:pPr>
      <w:proofErr w:type="spellStart"/>
      <w:r w:rsidRPr="004414C1">
        <w:rPr>
          <w:b/>
          <w:bCs/>
        </w:rPr>
        <w:t>RateLookupID</w:t>
      </w:r>
      <w:proofErr w:type="spellEnd"/>
      <w:r w:rsidR="004E4E73">
        <w:rPr>
          <w:b/>
          <w:bCs/>
        </w:rPr>
        <w:t xml:space="preserve"> Column</w:t>
      </w:r>
      <w:r w:rsidR="00001633">
        <w:rPr>
          <w:b/>
          <w:bCs/>
        </w:rPr>
        <w:t>:</w:t>
      </w:r>
    </w:p>
    <w:p w14:paraId="7BA4D8B1" w14:textId="63F3855A" w:rsidR="00D61EE7" w:rsidRDefault="00001633" w:rsidP="00B7615A">
      <w:pPr>
        <w:spacing w:line="240" w:lineRule="auto"/>
        <w:contextualSpacing/>
      </w:pPr>
      <w:r>
        <w:t xml:space="preserve">If the </w:t>
      </w:r>
      <w:proofErr w:type="spellStart"/>
      <w:r w:rsidR="00D61EE7">
        <w:t>RateLookupID</w:t>
      </w:r>
      <w:proofErr w:type="spellEnd"/>
      <w:r w:rsidR="00D61EE7">
        <w:t xml:space="preserve"> include</w:t>
      </w:r>
      <w:r>
        <w:t>s</w:t>
      </w:r>
      <w:r w:rsidR="00D61EE7">
        <w:t xml:space="preserve"> “</w:t>
      </w:r>
      <w:r>
        <w:t>USCA-</w:t>
      </w:r>
      <w:r w:rsidR="00D61EE7" w:rsidRPr="00001633">
        <w:rPr>
          <w:b/>
          <w:bCs/>
        </w:rPr>
        <w:t>S</w:t>
      </w:r>
      <w:r w:rsidR="00B573C1">
        <w:rPr>
          <w:b/>
          <w:bCs/>
        </w:rPr>
        <w:t>C</w:t>
      </w:r>
      <w:r w:rsidR="00D61EE7" w:rsidRPr="00001633">
        <w:rPr>
          <w:b/>
          <w:bCs/>
        </w:rPr>
        <w:t>XX</w:t>
      </w:r>
      <w:r w:rsidR="00D61EE7">
        <w:t xml:space="preserve">” </w:t>
      </w:r>
      <w:r>
        <w:t>that indicates</w:t>
      </w:r>
      <w:r w:rsidR="00D61EE7">
        <w:t xml:space="preserve"> Delivery Export Pricing</w:t>
      </w:r>
      <w:r>
        <w:t>.</w:t>
      </w:r>
    </w:p>
    <w:p w14:paraId="551856D2" w14:textId="77777777" w:rsidR="00001633" w:rsidRDefault="00001633" w:rsidP="00B7615A">
      <w:pPr>
        <w:spacing w:line="240" w:lineRule="auto"/>
        <w:contextualSpacing/>
      </w:pPr>
    </w:p>
    <w:p w14:paraId="77172DBA" w14:textId="605E64F1" w:rsidR="00B7615A" w:rsidRDefault="00001633" w:rsidP="00B7615A">
      <w:pPr>
        <w:spacing w:line="240" w:lineRule="auto"/>
        <w:contextualSpacing/>
      </w:pPr>
      <w:r>
        <w:t xml:space="preserve">If the </w:t>
      </w:r>
      <w:proofErr w:type="spellStart"/>
      <w:r w:rsidR="00D61EE7">
        <w:t>RateLookupID</w:t>
      </w:r>
      <w:proofErr w:type="spellEnd"/>
      <w:r>
        <w:t xml:space="preserve"> </w:t>
      </w:r>
      <w:r w:rsidR="00D61EE7">
        <w:t>include</w:t>
      </w:r>
      <w:r>
        <w:t>s</w:t>
      </w:r>
      <w:r w:rsidR="00D61EE7">
        <w:t xml:space="preserve"> “</w:t>
      </w:r>
      <w:r>
        <w:t>USCA-</w:t>
      </w:r>
      <w:r w:rsidR="00D61EE7" w:rsidRPr="00001633">
        <w:rPr>
          <w:b/>
          <w:bCs/>
        </w:rPr>
        <w:t>XXS</w:t>
      </w:r>
      <w:r w:rsidR="00B573C1">
        <w:rPr>
          <w:b/>
          <w:bCs/>
        </w:rPr>
        <w:t>C</w:t>
      </w:r>
      <w:r w:rsidR="00D61EE7">
        <w:t xml:space="preserve">” </w:t>
      </w:r>
      <w:r>
        <w:t>that indicate</w:t>
      </w:r>
      <w:r w:rsidR="004964C5">
        <w:t xml:space="preserve"> </w:t>
      </w:r>
      <w:r w:rsidR="00D61EE7">
        <w:t>Generation Export Pricing</w:t>
      </w:r>
      <w:r w:rsidR="00B7615A">
        <w:t>*</w:t>
      </w:r>
      <w:r>
        <w:t>.</w:t>
      </w:r>
    </w:p>
    <w:p w14:paraId="5B42920C" w14:textId="77777777" w:rsidR="003B34B1" w:rsidRDefault="003B34B1" w:rsidP="00B7615A">
      <w:pPr>
        <w:spacing w:line="240" w:lineRule="auto"/>
        <w:contextualSpacing/>
      </w:pPr>
    </w:p>
    <w:p w14:paraId="0D9F7B87" w14:textId="35B5C61B" w:rsidR="00D61EE7" w:rsidRDefault="006432DE" w:rsidP="00B7615A">
      <w:pPr>
        <w:spacing w:line="240" w:lineRule="auto"/>
        <w:contextualSpacing/>
      </w:pPr>
      <w:r>
        <w:t>*</w:t>
      </w:r>
      <w:r w:rsidR="00D61EE7">
        <w:t>If your electricity is purchased or generated by Clean Energy Alliance</w:t>
      </w:r>
      <w:r w:rsidR="003B34B1">
        <w:t xml:space="preserve"> or other CCA providers</w:t>
      </w:r>
      <w:r w:rsidR="00D61EE7">
        <w:t xml:space="preserve">, please refer to your CCA for more information about </w:t>
      </w:r>
      <w:r>
        <w:t xml:space="preserve">generation </w:t>
      </w:r>
      <w:r w:rsidR="00D61EE7">
        <w:t>export pricing.</w:t>
      </w:r>
    </w:p>
    <w:p w14:paraId="2AF6DAAA" w14:textId="77777777" w:rsidR="004964C5" w:rsidRDefault="004964C5" w:rsidP="00B7615A">
      <w:pPr>
        <w:spacing w:line="240" w:lineRule="auto"/>
        <w:contextualSpacing/>
      </w:pPr>
    </w:p>
    <w:p w14:paraId="629EFD35" w14:textId="77777777" w:rsidR="00B7615A" w:rsidRDefault="00B7615A" w:rsidP="00B7615A">
      <w:pPr>
        <w:spacing w:line="240" w:lineRule="auto"/>
        <w:contextualSpacing/>
        <w:rPr>
          <w:b/>
          <w:bCs/>
        </w:rPr>
      </w:pPr>
    </w:p>
    <w:p w14:paraId="6B84170B" w14:textId="00A13523" w:rsidR="00001633" w:rsidRDefault="00D61EE7" w:rsidP="00B7615A">
      <w:pPr>
        <w:spacing w:line="240" w:lineRule="auto"/>
        <w:contextualSpacing/>
        <w:rPr>
          <w:b/>
          <w:bCs/>
        </w:rPr>
      </w:pPr>
      <w:proofErr w:type="spellStart"/>
      <w:r w:rsidRPr="004414C1">
        <w:rPr>
          <w:b/>
          <w:bCs/>
        </w:rPr>
        <w:t>RateName</w:t>
      </w:r>
      <w:proofErr w:type="spellEnd"/>
      <w:r w:rsidR="004E4E73">
        <w:rPr>
          <w:b/>
          <w:bCs/>
        </w:rPr>
        <w:t xml:space="preserve"> Column</w:t>
      </w:r>
      <w:r w:rsidR="00724318">
        <w:rPr>
          <w:b/>
          <w:bCs/>
        </w:rPr>
        <w:t>:</w:t>
      </w:r>
      <w:r w:rsidR="00001633">
        <w:rPr>
          <w:b/>
          <w:bCs/>
        </w:rPr>
        <w:t xml:space="preserve"> </w:t>
      </w:r>
    </w:p>
    <w:p w14:paraId="1382849F" w14:textId="1043568C" w:rsidR="00724318" w:rsidRPr="00444BDA" w:rsidRDefault="00D61EE7" w:rsidP="00B7615A">
      <w:pPr>
        <w:spacing w:line="240" w:lineRule="auto"/>
        <w:contextualSpacing/>
      </w:pPr>
      <w:r>
        <w:t>The number</w:t>
      </w:r>
      <w:r w:rsidR="00001633">
        <w:t xml:space="preserve"> that</w:t>
      </w:r>
      <w:r>
        <w:t xml:space="preserve"> follow</w:t>
      </w:r>
      <w:r w:rsidR="00001633">
        <w:t>s</w:t>
      </w:r>
      <w:r>
        <w:t xml:space="preserve"> </w:t>
      </w:r>
      <w:r w:rsidR="00724318">
        <w:t>“</w:t>
      </w:r>
      <w:r>
        <w:t>NBT</w:t>
      </w:r>
      <w:r w:rsidR="00724318">
        <w:t>”</w:t>
      </w:r>
      <w:r>
        <w:t xml:space="preserve"> </w:t>
      </w:r>
      <w:r w:rsidR="00724318">
        <w:t>represents</w:t>
      </w:r>
      <w:r>
        <w:t xml:space="preserve"> the </w:t>
      </w:r>
      <w:r w:rsidR="00724318">
        <w:t xml:space="preserve">legacy </w:t>
      </w:r>
      <w:r w:rsidR="004414C1">
        <w:t>pricing for that year</w:t>
      </w:r>
      <w:r w:rsidR="00444BDA">
        <w:t xml:space="preserve">. </w:t>
      </w:r>
      <w:r w:rsidR="00757F30">
        <w:t>Please see first paragraph for a description.</w:t>
      </w:r>
    </w:p>
    <w:p w14:paraId="32464F86" w14:textId="77777777" w:rsidR="00001633" w:rsidRDefault="00001633" w:rsidP="00B7615A">
      <w:pPr>
        <w:spacing w:line="240" w:lineRule="auto"/>
        <w:contextualSpacing/>
      </w:pPr>
    </w:p>
    <w:p w14:paraId="3C97314A" w14:textId="4ABC9774" w:rsidR="00001633" w:rsidRPr="00D12CAC" w:rsidRDefault="00001633" w:rsidP="00B7615A">
      <w:pPr>
        <w:spacing w:line="240" w:lineRule="auto"/>
        <w:contextualSpacing/>
        <w:rPr>
          <w:b/>
          <w:bCs/>
        </w:rPr>
      </w:pPr>
      <w:r w:rsidRPr="00001633">
        <w:rPr>
          <w:b/>
          <w:bCs/>
        </w:rPr>
        <w:t>Dates</w:t>
      </w:r>
      <w:r w:rsidR="00E1188D">
        <w:rPr>
          <w:b/>
          <w:bCs/>
        </w:rPr>
        <w:t xml:space="preserve"> and Times</w:t>
      </w:r>
      <w:r w:rsidR="004E4E73">
        <w:rPr>
          <w:b/>
          <w:bCs/>
        </w:rPr>
        <w:t xml:space="preserve"> Columns</w:t>
      </w:r>
      <w:r w:rsidRPr="00001633">
        <w:rPr>
          <w:b/>
          <w:bCs/>
        </w:rPr>
        <w:t>:</w:t>
      </w:r>
    </w:p>
    <w:p w14:paraId="16794FBC" w14:textId="542CF0DD" w:rsidR="004964C5" w:rsidRPr="004964C5" w:rsidRDefault="004964C5" w:rsidP="00B7615A">
      <w:pPr>
        <w:spacing w:line="240" w:lineRule="auto"/>
        <w:contextualSpacing/>
      </w:pPr>
      <w:proofErr w:type="spellStart"/>
      <w:r w:rsidRPr="00FA4795">
        <w:rPr>
          <w:b/>
          <w:bCs/>
        </w:rPr>
        <w:t>DateStart</w:t>
      </w:r>
      <w:proofErr w:type="spellEnd"/>
      <w:r w:rsidRPr="004964C5">
        <w:t xml:space="preserve">, </w:t>
      </w:r>
      <w:proofErr w:type="spellStart"/>
      <w:r w:rsidRPr="00FA4795">
        <w:rPr>
          <w:b/>
          <w:bCs/>
        </w:rPr>
        <w:t>TimeStart</w:t>
      </w:r>
      <w:proofErr w:type="spellEnd"/>
      <w:r w:rsidRPr="004964C5">
        <w:t xml:space="preserve">, </w:t>
      </w:r>
      <w:proofErr w:type="spellStart"/>
      <w:r w:rsidRPr="00FA4795">
        <w:rPr>
          <w:b/>
          <w:bCs/>
        </w:rPr>
        <w:t>DateEnd</w:t>
      </w:r>
      <w:proofErr w:type="spellEnd"/>
      <w:r w:rsidRPr="004964C5">
        <w:t xml:space="preserve"> and </w:t>
      </w:r>
      <w:proofErr w:type="spellStart"/>
      <w:r w:rsidRPr="00FA4795">
        <w:rPr>
          <w:b/>
          <w:bCs/>
        </w:rPr>
        <w:t>TimeEnd</w:t>
      </w:r>
      <w:proofErr w:type="spellEnd"/>
      <w:r w:rsidRPr="004964C5">
        <w:t xml:space="preserve"> values are in</w:t>
      </w:r>
      <w:r w:rsidR="009C2373">
        <w:t xml:space="preserve"> Coordinated Universal Time</w:t>
      </w:r>
      <w:r w:rsidRPr="004964C5">
        <w:t xml:space="preserve"> </w:t>
      </w:r>
      <w:r w:rsidR="009C2373">
        <w:t>(</w:t>
      </w:r>
      <w:r w:rsidRPr="004964C5">
        <w:t>UTC</w:t>
      </w:r>
      <w:r w:rsidR="009C2373">
        <w:t>)</w:t>
      </w:r>
      <w:r w:rsidR="00724318">
        <w:t>.</w:t>
      </w:r>
      <w:r w:rsidRPr="004964C5">
        <w:t xml:space="preserve"> </w:t>
      </w:r>
    </w:p>
    <w:p w14:paraId="283D9766" w14:textId="77777777" w:rsidR="00724318" w:rsidRDefault="00724318" w:rsidP="00B7615A">
      <w:pPr>
        <w:spacing w:line="240" w:lineRule="auto"/>
        <w:contextualSpacing/>
      </w:pPr>
    </w:p>
    <w:p w14:paraId="624A321C" w14:textId="6C7D7CA5" w:rsidR="004964C5" w:rsidRDefault="004964C5" w:rsidP="00B7615A">
      <w:pPr>
        <w:spacing w:line="240" w:lineRule="auto"/>
        <w:contextualSpacing/>
      </w:pPr>
      <w:proofErr w:type="spellStart"/>
      <w:r w:rsidRPr="00FA4795">
        <w:rPr>
          <w:b/>
          <w:bCs/>
        </w:rPr>
        <w:t>DayStart</w:t>
      </w:r>
      <w:proofErr w:type="spellEnd"/>
      <w:r w:rsidRPr="004964C5">
        <w:t xml:space="preserve">, </w:t>
      </w:r>
      <w:proofErr w:type="spellStart"/>
      <w:r w:rsidRPr="00FA4795">
        <w:rPr>
          <w:b/>
          <w:bCs/>
        </w:rPr>
        <w:t>DayEnd</w:t>
      </w:r>
      <w:proofErr w:type="spellEnd"/>
      <w:r w:rsidRPr="004964C5">
        <w:t xml:space="preserve"> and </w:t>
      </w:r>
      <w:proofErr w:type="spellStart"/>
      <w:r w:rsidRPr="00FA4795">
        <w:rPr>
          <w:b/>
          <w:bCs/>
        </w:rPr>
        <w:t>ValueName</w:t>
      </w:r>
      <w:proofErr w:type="spellEnd"/>
      <w:r w:rsidRPr="004964C5">
        <w:t xml:space="preserve"> are in </w:t>
      </w:r>
      <w:r w:rsidR="009C2373">
        <w:t xml:space="preserve">Pacific </w:t>
      </w:r>
      <w:r w:rsidR="00E4638B">
        <w:t>Prevailing</w:t>
      </w:r>
      <w:r w:rsidR="009C2373">
        <w:t xml:space="preserve"> Time</w:t>
      </w:r>
      <w:r w:rsidR="007E2DCE">
        <w:t>:</w:t>
      </w:r>
    </w:p>
    <w:p w14:paraId="5B57C2C8" w14:textId="77777777" w:rsidR="002B27E9" w:rsidRDefault="007E2DCE" w:rsidP="00B7615A">
      <w:pPr>
        <w:pStyle w:val="ListParagraph"/>
        <w:numPr>
          <w:ilvl w:val="0"/>
          <w:numId w:val="6"/>
        </w:numPr>
        <w:spacing w:line="240" w:lineRule="auto"/>
      </w:pPr>
      <w:r>
        <w:t>These fields indicate the effective day</w:t>
      </w:r>
      <w:r w:rsidR="00AD0D11">
        <w:t>-</w:t>
      </w:r>
      <w:r>
        <w:t xml:space="preserve">type categories </w:t>
      </w:r>
      <w:r w:rsidR="00AD0D11">
        <w:t>of the rate factor</w:t>
      </w:r>
    </w:p>
    <w:p w14:paraId="4F10555F" w14:textId="77777777" w:rsidR="00205046" w:rsidRDefault="002B27E9" w:rsidP="00B7615A">
      <w:pPr>
        <w:pStyle w:val="ListParagraph"/>
        <w:numPr>
          <w:ilvl w:val="0"/>
          <w:numId w:val="6"/>
        </w:numPr>
        <w:spacing w:line="240" w:lineRule="auto"/>
      </w:pPr>
      <w:r>
        <w:t xml:space="preserve">Monday through Friday is 1-5. Saturday &amp; Sunday is 6-7. </w:t>
      </w:r>
      <w:r w:rsidR="004964C5" w:rsidRPr="004964C5">
        <w:t xml:space="preserve">Holidays </w:t>
      </w:r>
      <w:r w:rsidR="004964C5">
        <w:t>are listed as number</w:t>
      </w:r>
      <w:r w:rsidR="004964C5" w:rsidRPr="004964C5">
        <w:t xml:space="preserve"> </w:t>
      </w:r>
      <w:r w:rsidR="004964C5">
        <w:t>“</w:t>
      </w:r>
      <w:r w:rsidR="004964C5" w:rsidRPr="004964C5">
        <w:t>8</w:t>
      </w:r>
      <w:r w:rsidR="004964C5">
        <w:t>”</w:t>
      </w:r>
      <w:r w:rsidR="004964C5" w:rsidRPr="004964C5">
        <w:t xml:space="preserve"> in the </w:t>
      </w:r>
      <w:proofErr w:type="spellStart"/>
      <w:r w:rsidR="004964C5" w:rsidRPr="004964C5">
        <w:t>DayStart</w:t>
      </w:r>
      <w:proofErr w:type="spellEnd"/>
      <w:r w:rsidR="004964C5" w:rsidRPr="004964C5">
        <w:t xml:space="preserve"> and </w:t>
      </w:r>
      <w:proofErr w:type="spellStart"/>
      <w:r w:rsidR="004964C5" w:rsidRPr="004964C5">
        <w:t>DayEnd</w:t>
      </w:r>
      <w:proofErr w:type="spellEnd"/>
      <w:r w:rsidR="004964C5" w:rsidRPr="004964C5">
        <w:t xml:space="preserve"> columns. </w:t>
      </w:r>
    </w:p>
    <w:p w14:paraId="3AA5B5EA" w14:textId="14796D9C" w:rsidR="000B2787" w:rsidRPr="000B2787" w:rsidRDefault="000B2787" w:rsidP="00B7615A">
      <w:pPr>
        <w:pStyle w:val="ListParagraph"/>
        <w:numPr>
          <w:ilvl w:val="0"/>
          <w:numId w:val="6"/>
        </w:numPr>
        <w:spacing w:line="240" w:lineRule="auto"/>
      </w:pPr>
      <w:proofErr w:type="spellStart"/>
      <w:r w:rsidRPr="007C49F9">
        <w:t>ValueName</w:t>
      </w:r>
      <w:proofErr w:type="spellEnd"/>
      <w:r w:rsidR="004E4E73" w:rsidRPr="007C49F9">
        <w:t xml:space="preserve"> Column</w:t>
      </w:r>
      <w:r w:rsidR="00F5403F">
        <w:t xml:space="preserve"> </w:t>
      </w:r>
      <w:r w:rsidRPr="000B2787">
        <w:t>indicates the month</w:t>
      </w:r>
      <w:r w:rsidR="00553F9E">
        <w:t xml:space="preserve"> and</w:t>
      </w:r>
      <w:r>
        <w:t xml:space="preserve"> weekday hour or weekend hour</w:t>
      </w:r>
      <w:r w:rsidR="00E91C0A">
        <w:t xml:space="preserve"> starting value for the rate factor</w:t>
      </w:r>
      <w:r w:rsidRPr="000B2787">
        <w:t>.</w:t>
      </w:r>
    </w:p>
    <w:p w14:paraId="65C00946" w14:textId="77777777" w:rsidR="000B2787" w:rsidRDefault="000B2787" w:rsidP="00B7615A">
      <w:pPr>
        <w:spacing w:line="240" w:lineRule="auto"/>
        <w:contextualSpacing/>
        <w:rPr>
          <w:b/>
          <w:bCs/>
        </w:rPr>
      </w:pPr>
    </w:p>
    <w:p w14:paraId="217B9C3F" w14:textId="77777777" w:rsidR="00D12CAC" w:rsidRDefault="00D12CAC" w:rsidP="00B7615A">
      <w:pPr>
        <w:spacing w:line="240" w:lineRule="auto"/>
        <w:contextualSpacing/>
        <w:rPr>
          <w:b/>
          <w:bCs/>
        </w:rPr>
      </w:pPr>
    </w:p>
    <w:p w14:paraId="11AF629F" w14:textId="7CCDF6B0" w:rsidR="004964C5" w:rsidRDefault="00001633" w:rsidP="00B7615A">
      <w:pPr>
        <w:spacing w:line="240" w:lineRule="auto"/>
        <w:contextualSpacing/>
        <w:rPr>
          <w:b/>
          <w:bCs/>
        </w:rPr>
      </w:pPr>
      <w:r w:rsidRPr="00001633">
        <w:rPr>
          <w:b/>
          <w:bCs/>
        </w:rPr>
        <w:lastRenderedPageBreak/>
        <w:t>Value and Uni</w:t>
      </w:r>
      <w:r w:rsidR="004E4E73">
        <w:rPr>
          <w:b/>
          <w:bCs/>
        </w:rPr>
        <w:t>t Columns</w:t>
      </w:r>
      <w:r w:rsidRPr="00001633">
        <w:rPr>
          <w:b/>
          <w:bCs/>
        </w:rPr>
        <w:t>:</w:t>
      </w:r>
    </w:p>
    <w:p w14:paraId="3FEB002B" w14:textId="5A616F1B" w:rsidR="00D61EE7" w:rsidRDefault="00001633" w:rsidP="00E91C0A">
      <w:pPr>
        <w:spacing w:line="240" w:lineRule="auto"/>
        <w:contextualSpacing/>
      </w:pPr>
      <w:r>
        <w:t>This represents the</w:t>
      </w:r>
      <w:r w:rsidR="00133424">
        <w:t xml:space="preserve"> </w:t>
      </w:r>
      <w:r>
        <w:t>dollar amount</w:t>
      </w:r>
      <w:r w:rsidR="00133424">
        <w:t xml:space="preserve"> pricing</w:t>
      </w:r>
      <w:r>
        <w:t xml:space="preserve"> per export kWh.</w:t>
      </w:r>
    </w:p>
    <w:sectPr w:rsidR="00D61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D8"/>
    <w:multiLevelType w:val="hybridMultilevel"/>
    <w:tmpl w:val="E458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33C84"/>
    <w:multiLevelType w:val="hybridMultilevel"/>
    <w:tmpl w:val="B5D43624"/>
    <w:lvl w:ilvl="0" w:tplc="7BF01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3103B"/>
    <w:multiLevelType w:val="hybridMultilevel"/>
    <w:tmpl w:val="C1C8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0971"/>
    <w:multiLevelType w:val="hybridMultilevel"/>
    <w:tmpl w:val="E738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A42B3"/>
    <w:multiLevelType w:val="hybridMultilevel"/>
    <w:tmpl w:val="435C94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0C68"/>
    <w:multiLevelType w:val="hybridMultilevel"/>
    <w:tmpl w:val="5942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78657">
    <w:abstractNumId w:val="5"/>
  </w:num>
  <w:num w:numId="2" w16cid:durableId="1839685212">
    <w:abstractNumId w:val="4"/>
  </w:num>
  <w:num w:numId="3" w16cid:durableId="1016494423">
    <w:abstractNumId w:val="2"/>
  </w:num>
  <w:num w:numId="4" w16cid:durableId="1768235951">
    <w:abstractNumId w:val="0"/>
  </w:num>
  <w:num w:numId="5" w16cid:durableId="2064450773">
    <w:abstractNumId w:val="3"/>
  </w:num>
  <w:num w:numId="6" w16cid:durableId="86031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7"/>
    <w:rsid w:val="00001633"/>
    <w:rsid w:val="00026EA4"/>
    <w:rsid w:val="00071357"/>
    <w:rsid w:val="000B2787"/>
    <w:rsid w:val="00100C95"/>
    <w:rsid w:val="00133424"/>
    <w:rsid w:val="001556F8"/>
    <w:rsid w:val="00165C73"/>
    <w:rsid w:val="00205046"/>
    <w:rsid w:val="002B27E9"/>
    <w:rsid w:val="00362E22"/>
    <w:rsid w:val="003B34B1"/>
    <w:rsid w:val="004414C1"/>
    <w:rsid w:val="00444BDA"/>
    <w:rsid w:val="004964C5"/>
    <w:rsid w:val="004E4E73"/>
    <w:rsid w:val="00553F9E"/>
    <w:rsid w:val="005C165F"/>
    <w:rsid w:val="005C3902"/>
    <w:rsid w:val="00633AE6"/>
    <w:rsid w:val="006432DE"/>
    <w:rsid w:val="00657D0A"/>
    <w:rsid w:val="00683132"/>
    <w:rsid w:val="00724318"/>
    <w:rsid w:val="00757F30"/>
    <w:rsid w:val="00765967"/>
    <w:rsid w:val="00766F99"/>
    <w:rsid w:val="007C49F9"/>
    <w:rsid w:val="007E2DCE"/>
    <w:rsid w:val="00821432"/>
    <w:rsid w:val="008855AF"/>
    <w:rsid w:val="008909B5"/>
    <w:rsid w:val="009C2373"/>
    <w:rsid w:val="00AA08E2"/>
    <w:rsid w:val="00AD0D11"/>
    <w:rsid w:val="00AD6087"/>
    <w:rsid w:val="00B24B1B"/>
    <w:rsid w:val="00B573C1"/>
    <w:rsid w:val="00B65D7A"/>
    <w:rsid w:val="00B7615A"/>
    <w:rsid w:val="00BD5308"/>
    <w:rsid w:val="00BD58F7"/>
    <w:rsid w:val="00C41A74"/>
    <w:rsid w:val="00C7115B"/>
    <w:rsid w:val="00CB054A"/>
    <w:rsid w:val="00CF7F3C"/>
    <w:rsid w:val="00D12CAC"/>
    <w:rsid w:val="00D61EE7"/>
    <w:rsid w:val="00DB32EB"/>
    <w:rsid w:val="00E1188D"/>
    <w:rsid w:val="00E35E92"/>
    <w:rsid w:val="00E4638B"/>
    <w:rsid w:val="00E742A8"/>
    <w:rsid w:val="00E91C0A"/>
    <w:rsid w:val="00EF0551"/>
    <w:rsid w:val="00F5403F"/>
    <w:rsid w:val="00F74352"/>
    <w:rsid w:val="00F92C24"/>
    <w:rsid w:val="00FA010E"/>
    <w:rsid w:val="00FA4795"/>
    <w:rsid w:val="00FA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2746"/>
  <w15:chartTrackingRefBased/>
  <w15:docId w15:val="{F0E6840B-2742-488D-9685-B7F9A11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5da448-bf9c-43e8-8676-7e88d583ded9" xsi:nil="true"/>
    <lcf76f155ced4ddcb4097134ff3c332f xmlns="07562b5c-4710-46bc-b37d-a61efb3adc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F8E8B6308ED439CE23AC429F0F969" ma:contentTypeVersion="18" ma:contentTypeDescription="Create a new document." ma:contentTypeScope="" ma:versionID="ed0bd42a1c346b91805e0c6434d8b737">
  <xsd:schema xmlns:xsd="http://www.w3.org/2001/XMLSchema" xmlns:xs="http://www.w3.org/2001/XMLSchema" xmlns:p="http://schemas.microsoft.com/office/2006/metadata/properties" xmlns:ns2="07562b5c-4710-46bc-b37d-a61efb3adc8b" xmlns:ns3="a65419f7-f50e-46de-bbc6-58b4f2fa9595" xmlns:ns4="e45da448-bf9c-43e8-8676-7e88d583ded9" targetNamespace="http://schemas.microsoft.com/office/2006/metadata/properties" ma:root="true" ma:fieldsID="b0ccf51cdd8049d2fd5002dbab1c2e72" ns2:_="" ns3:_="" ns4:_="">
    <xsd:import namespace="07562b5c-4710-46bc-b37d-a61efb3adc8b"/>
    <xsd:import namespace="a65419f7-f50e-46de-bbc6-58b4f2fa9595"/>
    <xsd:import namespace="e45da448-bf9c-43e8-8676-7e88d583d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62b5c-4710-46bc-b37d-a61efb3ad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419f7-f50e-46de-bbc6-58b4f2fa9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a448-bf9c-43e8-8676-7e88d583ded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a7acf42-d558-49f9-816a-6402fe9b5123}" ma:internalName="TaxCatchAll" ma:showField="CatchAllData" ma:web="a65419f7-f50e-46de-bbc6-58b4f2fa9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D9161-9943-4A5C-8FF4-EDE722FFD07C}">
  <ds:schemaRefs>
    <ds:schemaRef ds:uri="http://schemas.microsoft.com/office/2006/metadata/properties"/>
    <ds:schemaRef ds:uri="http://schemas.microsoft.com/office/infopath/2007/PartnerControls"/>
    <ds:schemaRef ds:uri="e45da448-bf9c-43e8-8676-7e88d583ded9"/>
    <ds:schemaRef ds:uri="07562b5c-4710-46bc-b37d-a61efb3adc8b"/>
  </ds:schemaRefs>
</ds:datastoreItem>
</file>

<file path=customXml/itemProps2.xml><?xml version="1.0" encoding="utf-8"?>
<ds:datastoreItem xmlns:ds="http://schemas.openxmlformats.org/officeDocument/2006/customXml" ds:itemID="{E08AFF9F-5F97-4451-A4D4-1132B65D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63933-742B-481D-BF7E-72EE932C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562b5c-4710-46bc-b37d-a61efb3adc8b"/>
    <ds:schemaRef ds:uri="a65419f7-f50e-46de-bbc6-58b4f2fa9595"/>
    <ds:schemaRef ds:uri="e45da448-bf9c-43e8-8676-7e88d583d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Sempra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Yamunadevi Subramanian</dc:creator>
  <cp:keywords/>
  <dc:description/>
  <cp:lastModifiedBy>Yamunadevi Subramanian</cp:lastModifiedBy>
  <cp:revision>2</cp:revision>
  <dcterms:created xsi:type="dcterms:W3CDTF">2024-02-05T06:51:00Z</dcterms:created>
  <dcterms:modified xsi:type="dcterms:W3CDTF">2024-02-05T06:51:00Z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0x010100E36F8E8B6308ED439CE23AC429F0F969</vt:lpwstr>
  </property>
</Properties>
</file>